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1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94"/>
        <w:gridCol w:w="4594"/>
      </w:tblGrid>
      <w:tr>
        <w:tblPrEx>
          <w:shd w:val="clear" w:color="auto" w:fill="ced7e7"/>
        </w:tblPrEx>
        <w:trPr>
          <w:trHeight w:val="12897" w:hRule="exac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  <w:t>States Parties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Azerbaijan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Malaysia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Togo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Mali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Malawi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Saudi Arabia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Venezuela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Maldives 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  <w:t>Country groups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1 </w:t>
              <w:tab/>
              <w:t xml:space="preserve">MIKTA 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  <w:t>Permanent observers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          International Committee of the Red Cross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  <w:t>National Human Rights Institutions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1         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New Zealand Human Rights Commission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  <w:t>International Organizations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</w:t>
              <w:tab/>
              <w:t>United Nations Mine Action Service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</w:t>
              <w:tab/>
              <w:t>World Intellectual Property Organization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3</w:t>
              <w:tab/>
              <w:t>International Labour Organization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4</w:t>
              <w:tab/>
              <w:t>World Tourism Organization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single" w:color="000000"/>
                <w:vertAlign w:val="baseline"/>
                <w:rtl w:val="0"/>
                <w:lang w:val="en-US"/>
              </w:rPr>
              <w:t>Non-Governmental Organizations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People with Disability Australia / National Association of Community Legal Centres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Gedaref digital city organization Sudan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International Disability and Development Consortium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Arab Organization of Persons With disabilities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Ballerina Management Institute, India</w:t>
            </w:r>
          </w:p>
        </w:tc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List of speakers for the general debate (as of 15 June 1pm)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